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rFonts w:ascii="Arial" w:cs="Arial" w:eastAsia="Arial" w:hAnsi="Arial"/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         </w:t>
      </w:r>
    </w:p>
    <w:p w:rsidR="00000000" w:rsidDel="00000000" w:rsidP="00000000" w:rsidRDefault="00000000" w:rsidRPr="00000000" w14:paraId="00000002">
      <w:pPr>
        <w:ind w:left="3600" w:firstLine="0"/>
        <w:jc w:val="center"/>
        <w:rPr>
          <w:rFonts w:ascii="Century Gothic" w:cs="Century Gothic" w:eastAsia="Century Gothic" w:hAnsi="Century Gothic"/>
          <w:b w:val="1"/>
          <w:sz w:val="10"/>
          <w:szCs w:val="1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319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0319"/>
        <w:tblGridChange w:id="0">
          <w:tblGrid>
            <w:gridCol w:w="10319"/>
          </w:tblGrid>
        </w:tblGridChange>
      </w:tblGrid>
      <w:tr>
        <w:trPr>
          <w:cantSplit w:val="0"/>
          <w:trHeight w:val="531" w:hRule="atLeast"/>
          <w:tblHeader w:val="0"/>
        </w:trPr>
        <w:tc>
          <w:tcPr>
            <w:tcBorders>
              <w:bottom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003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NOTIS PELAWAAN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34" w:hRule="atLeast"/>
          <w:tblHeader w:val="0"/>
        </w:trPr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04">
            <w:pPr>
              <w:jc w:val="center"/>
              <w:rPr>
                <w:rFonts w:ascii="Arial" w:cs="Arial" w:eastAsia="Arial" w:hAnsi="Arial"/>
                <w:b w:val="1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Tawaran adalah dipelawa daripada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syarikat / pembekal  yang  berdaftar dengan </w:t>
            </w: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16"/>
                <w:szCs w:val="16"/>
                <w:rtl w:val="0"/>
              </w:rPr>
              <w:t xml:space="preserve">Lembaga Pembangunan Dan Industri Pembinaan Malaysia (CIDB)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 dan Universiti  Malaysia  Pahang Al-Sultan Abdullah untuk  membuat tawaran </w:t>
            </w: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bagi sebut harga/tender seperti berikut: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314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21"/>
        <w:gridCol w:w="3264"/>
        <w:gridCol w:w="2689"/>
        <w:gridCol w:w="992"/>
        <w:gridCol w:w="2948"/>
        <w:tblGridChange w:id="0">
          <w:tblGrid>
            <w:gridCol w:w="421"/>
            <w:gridCol w:w="3264"/>
            <w:gridCol w:w="2689"/>
            <w:gridCol w:w="992"/>
            <w:gridCol w:w="2948"/>
          </w:tblGrid>
        </w:tblGridChange>
      </w:tblGrid>
      <w:tr>
        <w:trPr>
          <w:cantSplit w:val="0"/>
          <w:trHeight w:val="308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bfbfbf" w:val="clear"/>
            <w:vAlign w:val="center"/>
          </w:tcPr>
          <w:p w:rsidR="00000000" w:rsidDel="00000000" w:rsidP="00000000" w:rsidRDefault="00000000" w:rsidRPr="00000000" w14:paraId="00000006">
            <w:pPr>
              <w:jc w:val="center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Bil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shd w:fill="bfbfbf" w:val="clear"/>
            <w:vAlign w:val="center"/>
          </w:tcPr>
          <w:p w:rsidR="00000000" w:rsidDel="00000000" w:rsidP="00000000" w:rsidRDefault="00000000" w:rsidRPr="00000000" w14:paraId="00000007">
            <w:pPr>
              <w:jc w:val="center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Tajuk 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shd w:fill="bfbfbf" w:val="clear"/>
            <w:vAlign w:val="center"/>
          </w:tcPr>
          <w:p w:rsidR="00000000" w:rsidDel="00000000" w:rsidP="00000000" w:rsidRDefault="00000000" w:rsidRPr="00000000" w14:paraId="00000008">
            <w:pPr>
              <w:jc w:val="center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Kod Bidang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shd w:fill="bfbfbf" w:val="clear"/>
            <w:vAlign w:val="center"/>
          </w:tcPr>
          <w:p w:rsidR="00000000" w:rsidDel="00000000" w:rsidP="00000000" w:rsidRDefault="00000000" w:rsidRPr="00000000" w14:paraId="00000009">
            <w:pPr>
              <w:jc w:val="center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Harga Dokumen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bfbfbf" w:val="clear"/>
            <w:vAlign w:val="center"/>
          </w:tcPr>
          <w:p w:rsidR="00000000" w:rsidDel="00000000" w:rsidP="00000000" w:rsidRDefault="00000000" w:rsidRPr="00000000" w14:paraId="0000000A">
            <w:pPr>
              <w:jc w:val="center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Tarikh Buka / Tarikh Tutup</w:t>
            </w:r>
          </w:p>
        </w:tc>
      </w:tr>
      <w:tr>
        <w:trPr>
          <w:cantSplit w:val="0"/>
          <w:trHeight w:val="2514" w:hRule="atLeast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0B">
            <w:pPr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1.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0D">
            <w:pPr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rPr>
                <w:rFonts w:ascii="Arial" w:cs="Arial" w:eastAsia="Arial" w:hAnsi="Arial"/>
                <w:b w:val="1"/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18"/>
                <w:szCs w:val="18"/>
                <w:rtl w:val="0"/>
              </w:rPr>
              <w:t xml:space="preserve">UMPSA/PPH/SH/202X (....)</w:t>
            </w:r>
            <w:r w:rsidDel="00000000" w:rsidR="00000000" w:rsidRPr="00000000">
              <w:rPr>
                <w:rFonts w:ascii="Arial" w:cs="Arial" w:eastAsia="Arial" w:hAnsi="Arial"/>
                <w:color w:val="ff0000"/>
                <w:sz w:val="18"/>
                <w:szCs w:val="18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F">
            <w:pPr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 </w:t>
            </w:r>
          </w:p>
          <w:p w:rsidR="00000000" w:rsidDel="00000000" w:rsidP="00000000" w:rsidRDefault="00000000" w:rsidRPr="00000000" w14:paraId="00000010">
            <w:pPr>
              <w:rPr>
                <w:rFonts w:ascii="Arial" w:cs="Arial" w:eastAsia="Arial" w:hAnsi="Arial"/>
                <w:b w:val="1"/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18"/>
                <w:szCs w:val="18"/>
                <w:rtl w:val="0"/>
              </w:rPr>
              <w:t xml:space="preserve">……&lt;Tajuk Projek&gt;…………….</w:t>
            </w:r>
          </w:p>
          <w:p w:rsidR="00000000" w:rsidDel="00000000" w:rsidP="00000000" w:rsidRDefault="00000000" w:rsidRPr="00000000" w14:paraId="00000011">
            <w:pPr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12">
            <w:pPr>
              <w:jc w:val="center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jc w:val="center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Bumiputera</w:t>
            </w:r>
          </w:p>
          <w:p w:rsidR="00000000" w:rsidDel="00000000" w:rsidP="00000000" w:rsidRDefault="00000000" w:rsidRPr="00000000" w14:paraId="00000014">
            <w:pPr>
              <w:jc w:val="center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jc w:val="center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jc w:val="center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Lembaga Pembangunan Dan Industri Pembinaan Malaysia (CIDB) </w:t>
            </w:r>
          </w:p>
          <w:p w:rsidR="00000000" w:rsidDel="00000000" w:rsidP="00000000" w:rsidRDefault="00000000" w:rsidRPr="00000000" w14:paraId="00000017">
            <w:pPr>
              <w:jc w:val="center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jc w:val="center"/>
              <w:rPr>
                <w:rFonts w:ascii="Arial" w:cs="Arial" w:eastAsia="Arial" w:hAnsi="Arial"/>
                <w:b w:val="1"/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18"/>
                <w:szCs w:val="18"/>
                <w:rtl w:val="0"/>
              </w:rPr>
              <w:t xml:space="preserve">&lt;Gred&gt;</w:t>
            </w:r>
          </w:p>
          <w:p w:rsidR="00000000" w:rsidDel="00000000" w:rsidP="00000000" w:rsidRDefault="00000000" w:rsidRPr="00000000" w14:paraId="00000019">
            <w:pPr>
              <w:jc w:val="center"/>
              <w:rPr>
                <w:rFonts w:ascii="Arial" w:cs="Arial" w:eastAsia="Arial" w:hAnsi="Arial"/>
                <w:b w:val="1"/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18"/>
                <w:szCs w:val="18"/>
                <w:rtl w:val="0"/>
              </w:rPr>
              <w:t xml:space="preserve">&lt;Daerah (jika berkaitan)&gt;</w:t>
            </w:r>
          </w:p>
          <w:p w:rsidR="00000000" w:rsidDel="00000000" w:rsidP="00000000" w:rsidRDefault="00000000" w:rsidRPr="00000000" w14:paraId="0000001A">
            <w:pPr>
              <w:jc w:val="center"/>
              <w:rPr>
                <w:rFonts w:ascii="Arial" w:cs="Arial" w:eastAsia="Arial" w:hAnsi="Arial"/>
                <w:b w:val="1"/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18"/>
                <w:szCs w:val="18"/>
                <w:rtl w:val="0"/>
              </w:rPr>
              <w:t xml:space="preserve">&lt;Kategori&gt;</w:t>
            </w:r>
          </w:p>
          <w:p w:rsidR="00000000" w:rsidDel="00000000" w:rsidP="00000000" w:rsidRDefault="00000000" w:rsidRPr="00000000" w14:paraId="0000001B">
            <w:pPr>
              <w:jc w:val="center"/>
              <w:rPr>
                <w:rFonts w:ascii="Arial" w:cs="Arial" w:eastAsia="Arial" w:hAnsi="Arial"/>
                <w:b w:val="1"/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18"/>
                <w:szCs w:val="18"/>
                <w:rtl w:val="0"/>
              </w:rPr>
              <w:t xml:space="preserve">&lt;Kod Bidang&gt;</w:t>
            </w:r>
          </w:p>
          <w:p w:rsidR="00000000" w:rsidDel="00000000" w:rsidP="00000000" w:rsidRDefault="00000000" w:rsidRPr="00000000" w14:paraId="0000001C">
            <w:pPr>
              <w:jc w:val="center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jc w:val="center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jc w:val="center"/>
              <w:rPr>
                <w:rFonts w:ascii="Arial" w:cs="Arial" w:eastAsia="Arial" w:hAnsi="Arial"/>
                <w:b w:val="1"/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18"/>
                <w:szCs w:val="18"/>
                <w:rtl w:val="0"/>
              </w:rPr>
              <w:t xml:space="preserve">&lt;Nama pegawai&gt;</w:t>
            </w:r>
          </w:p>
          <w:p w:rsidR="00000000" w:rsidDel="00000000" w:rsidP="00000000" w:rsidRDefault="00000000" w:rsidRPr="00000000" w14:paraId="00000020">
            <w:pPr>
              <w:jc w:val="center"/>
              <w:rPr>
                <w:rFonts w:ascii="Arial" w:cs="Arial" w:eastAsia="Arial" w:hAnsi="Arial"/>
                <w:b w:val="1"/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18"/>
                <w:szCs w:val="18"/>
                <w:rtl w:val="0"/>
              </w:rPr>
              <w:t xml:space="preserve">&lt;No pegawai untuk dihubungi&gt;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21">
            <w:pPr>
              <w:jc w:val="center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jc w:val="center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RM50.00</w:t>
            </w:r>
          </w:p>
          <w:p w:rsidR="00000000" w:rsidDel="00000000" w:rsidP="00000000" w:rsidRDefault="00000000" w:rsidRPr="00000000" w14:paraId="00000023">
            <w:pPr>
              <w:jc w:val="center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24">
            <w:pPr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jc w:val="center"/>
              <w:rPr>
                <w:rFonts w:ascii="Arial" w:cs="Arial" w:eastAsia="Arial" w:hAnsi="Arial"/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18"/>
                <w:szCs w:val="18"/>
                <w:rtl w:val="0"/>
              </w:rPr>
              <w:t xml:space="preserve">Mulai &lt;tarikh jual&gt;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jc w:val="center"/>
              <w:rPr>
                <w:rFonts w:ascii="Arial" w:cs="Arial" w:eastAsia="Arial" w:hAnsi="Arial"/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18"/>
                <w:szCs w:val="18"/>
                <w:rtl w:val="0"/>
              </w:rPr>
              <w:t xml:space="preserve">Hingga &lt;tarikh akhir jual&gt;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7">
            <w:pPr>
              <w:jc w:val="center"/>
              <w:rPr>
                <w:rFonts w:ascii="Arial" w:cs="Arial" w:eastAsia="Arial" w:hAnsi="Arial"/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ff0000"/>
                <w:sz w:val="18"/>
                <w:szCs w:val="18"/>
                <w:rtl w:val="0"/>
              </w:rPr>
              <w:t xml:space="preserve"> </w:t>
            </w:r>
          </w:p>
          <w:p w:rsidR="00000000" w:rsidDel="00000000" w:rsidP="00000000" w:rsidRDefault="00000000" w:rsidRPr="00000000" w14:paraId="00000028">
            <w:pPr>
              <w:ind w:left="1155" w:hanging="1155"/>
              <w:jc w:val="center"/>
              <w:rPr>
                <w:rFonts w:ascii="Arial" w:cs="Arial" w:eastAsia="Arial" w:hAnsi="Arial"/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18"/>
                <w:szCs w:val="18"/>
                <w:rtl w:val="0"/>
              </w:rPr>
              <w:t xml:space="preserve">Tarikh Tutup:</w:t>
            </w:r>
            <w:r w:rsidDel="00000000" w:rsidR="00000000" w:rsidRPr="00000000">
              <w:rPr>
                <w:rFonts w:ascii="Arial" w:cs="Arial" w:eastAsia="Arial" w:hAnsi="Arial"/>
                <w:color w:val="ff0000"/>
                <w:sz w:val="18"/>
                <w:szCs w:val="18"/>
                <w:rtl w:val="0"/>
              </w:rPr>
              <w:t xml:space="preserve"> </w:t>
            </w:r>
          </w:p>
          <w:p w:rsidR="00000000" w:rsidDel="00000000" w:rsidP="00000000" w:rsidRDefault="00000000" w:rsidRPr="00000000" w14:paraId="00000029">
            <w:pPr>
              <w:ind w:left="1155" w:hanging="1155"/>
              <w:jc w:val="center"/>
              <w:rPr>
                <w:rFonts w:ascii="Arial" w:cs="Arial" w:eastAsia="Arial" w:hAnsi="Arial"/>
                <w:b w:val="1"/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18"/>
                <w:szCs w:val="18"/>
                <w:rtl w:val="0"/>
              </w:rPr>
              <w:t xml:space="preserve">  &lt;tarikh&gt;</w:t>
            </w:r>
          </w:p>
          <w:p w:rsidR="00000000" w:rsidDel="00000000" w:rsidP="00000000" w:rsidRDefault="00000000" w:rsidRPr="00000000" w14:paraId="0000002A">
            <w:pPr>
              <w:ind w:left="1155" w:hanging="1155"/>
              <w:jc w:val="center"/>
              <w:rPr>
                <w:rFonts w:ascii="Arial" w:cs="Arial" w:eastAsia="Arial" w:hAnsi="Arial"/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ff0000"/>
                <w:sz w:val="18"/>
                <w:szCs w:val="18"/>
                <w:rtl w:val="0"/>
              </w:rPr>
              <w:t xml:space="preserve"> </w:t>
            </w: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18"/>
                <w:szCs w:val="18"/>
                <w:rtl w:val="0"/>
              </w:rPr>
              <w:t xml:space="preserve"> &lt;Hari&gt;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B">
            <w:pPr>
              <w:jc w:val="center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Masa :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 </w:t>
            </w:r>
          </w:p>
          <w:p w:rsidR="00000000" w:rsidDel="00000000" w:rsidP="00000000" w:rsidRDefault="00000000" w:rsidRPr="00000000" w14:paraId="0000002D">
            <w:pPr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12.00 tengahari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 </w:t>
            </w:r>
          </w:p>
          <w:p w:rsidR="00000000" w:rsidDel="00000000" w:rsidP="00000000" w:rsidRDefault="00000000" w:rsidRPr="00000000" w14:paraId="0000002E">
            <w:pPr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 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 LAWATAN TAPAK: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 </w:t>
            </w:r>
          </w:p>
          <w:p w:rsidR="00000000" w:rsidDel="00000000" w:rsidP="00000000" w:rsidRDefault="00000000" w:rsidRPr="00000000" w14:paraId="00000030">
            <w:pPr>
              <w:jc w:val="center"/>
              <w:rPr>
                <w:rFonts w:ascii="Arial" w:cs="Arial" w:eastAsia="Arial" w:hAnsi="Arial"/>
                <w:b w:val="1"/>
                <w:sz w:val="18"/>
                <w:szCs w:val="18"/>
                <w:u w:val="single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 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u w:val="single"/>
                <w:rtl w:val="0"/>
              </w:rPr>
              <w:t xml:space="preserve"> WAJIB</w:t>
            </w:r>
          </w:p>
          <w:p w:rsidR="00000000" w:rsidDel="00000000" w:rsidP="00000000" w:rsidRDefault="00000000" w:rsidRPr="00000000" w14:paraId="00000031">
            <w:pPr>
              <w:jc w:val="center"/>
              <w:rPr>
                <w:rFonts w:ascii="Arial" w:cs="Arial" w:eastAsia="Arial" w:hAnsi="Arial"/>
                <w:b w:val="1"/>
                <w:sz w:val="18"/>
                <w:szCs w:val="18"/>
                <w:u w:val="singl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2">
            <w:pPr>
              <w:ind w:left="1155" w:hanging="1155"/>
              <w:rPr>
                <w:rFonts w:ascii="Arial" w:cs="Arial" w:eastAsia="Arial" w:hAnsi="Arial"/>
                <w:b w:val="1"/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18"/>
                <w:szCs w:val="18"/>
                <w:rtl w:val="0"/>
              </w:rPr>
              <w:t xml:space="preserve">Tarikh :</w:t>
            </w:r>
            <w:r w:rsidDel="00000000" w:rsidR="00000000" w:rsidRPr="00000000">
              <w:rPr>
                <w:rFonts w:ascii="Arial" w:cs="Arial" w:eastAsia="Arial" w:hAnsi="Arial"/>
                <w:color w:val="ff0000"/>
                <w:sz w:val="18"/>
                <w:szCs w:val="18"/>
                <w:rtl w:val="0"/>
              </w:rPr>
              <w:t xml:space="preserve"> </w:t>
            </w: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18"/>
                <w:szCs w:val="18"/>
                <w:rtl w:val="0"/>
              </w:rPr>
              <w:t xml:space="preserve"> &lt;Tarikh&gt;</w:t>
            </w:r>
          </w:p>
          <w:p w:rsidR="00000000" w:rsidDel="00000000" w:rsidP="00000000" w:rsidRDefault="00000000" w:rsidRPr="00000000" w14:paraId="00000033">
            <w:pPr>
              <w:ind w:left="1155" w:hanging="1155"/>
              <w:rPr>
                <w:rFonts w:ascii="Arial" w:cs="Arial" w:eastAsia="Arial" w:hAnsi="Arial"/>
                <w:b w:val="1"/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18"/>
                <w:szCs w:val="18"/>
                <w:rtl w:val="0"/>
              </w:rPr>
              <w:t xml:space="preserve">               &lt;Hari&gt;</w:t>
            </w:r>
          </w:p>
          <w:p w:rsidR="00000000" w:rsidDel="00000000" w:rsidP="00000000" w:rsidRDefault="00000000" w:rsidRPr="00000000" w14:paraId="00000034">
            <w:pPr>
              <w:ind w:left="1155" w:hanging="1155"/>
              <w:rPr>
                <w:b w:val="1"/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18"/>
                <w:szCs w:val="18"/>
                <w:rtl w:val="0"/>
              </w:rPr>
              <w:t xml:space="preserve">Tempat:</w:t>
            </w:r>
            <w:r w:rsidDel="00000000" w:rsidR="00000000" w:rsidRPr="00000000">
              <w:rPr>
                <w:b w:val="1"/>
                <w:color w:val="ff0000"/>
                <w:sz w:val="18"/>
                <w:szCs w:val="18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18"/>
                <w:szCs w:val="18"/>
                <w:rtl w:val="0"/>
              </w:rPr>
              <w:t xml:space="preserve"> &lt;lokasi&gt;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5">
            <w:pPr>
              <w:rPr>
                <w:rFonts w:ascii="Arial" w:cs="Arial" w:eastAsia="Arial" w:hAnsi="Arial"/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18"/>
                <w:szCs w:val="18"/>
                <w:rtl w:val="0"/>
              </w:rPr>
              <w:t xml:space="preserve">Masa:  &lt;Masa&gt;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6">
            <w:pPr>
              <w:rPr>
                <w:rFonts w:ascii="Arial" w:cs="Arial" w:eastAsia="Arial" w:hAnsi="Arial"/>
                <w:b w:val="1"/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7">
      <w:pPr>
        <w:rPr>
          <w:rFonts w:ascii="Arial" w:cs="Arial" w:eastAsia="Arial" w:hAnsi="Arial"/>
          <w:sz w:val="12"/>
          <w:szCs w:val="1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rPr>
          <w:rFonts w:ascii="Arial" w:cs="Arial" w:eastAsia="Arial" w:hAnsi="Arial"/>
          <w:sz w:val="18"/>
          <w:szCs w:val="18"/>
        </w:rPr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u w:val="single"/>
          <w:rtl w:val="0"/>
        </w:rPr>
        <w:t xml:space="preserve">ARAHAN DAN MAKLUMAT KEPADA PEMBEKAL / KONTRAKTOR / SYARIKAT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rPr>
          <w:rFonts w:ascii="Arial" w:cs="Arial" w:eastAsia="Arial" w:hAnsi="Arial"/>
          <w:sz w:val="12"/>
          <w:szCs w:val="12"/>
        </w:rPr>
      </w:pPr>
      <w:r w:rsidDel="00000000" w:rsidR="00000000" w:rsidRPr="00000000">
        <w:rPr>
          <w:rtl w:val="0"/>
        </w:rPr>
      </w:r>
    </w:p>
    <w:tbl>
      <w:tblPr>
        <w:tblStyle w:val="Table3"/>
        <w:tblpPr w:leftFromText="180" w:rightFromText="180" w:topFromText="0" w:bottomFromText="0" w:vertAnchor="text" w:horzAnchor="text" w:tblpX="0" w:tblpY="0"/>
        <w:tblW w:w="10314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0314"/>
        <w:tblGridChange w:id="0">
          <w:tblGrid>
            <w:gridCol w:w="10314"/>
          </w:tblGrid>
        </w:tblGridChange>
      </w:tblGrid>
      <w:tr>
        <w:trPr>
          <w:cantSplit w:val="0"/>
          <w:trHeight w:val="838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0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hanging="284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Bagi sebutharga / tender yang mempunyai lawatan tapak, pihak syarikat adalah 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diwajibkan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menghadiri dahulu lawatan tapak tersebut sebelum membuat pembelian dokumen. 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Borang lawatan tapak akan diberikan kepada pemilik / penama syarikat yang sah sahaja.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8" w:hRule="atLeast"/>
          <w:tblHeader w:val="0"/>
        </w:trPr>
        <w:tc>
          <w:tcPr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0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hanging="284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Syarikat/Pembekal yang berminat dengan sebut harga ini, boleh membuat pembelian naskah di kaunter Unit Perolehan, Jabatan Bendahari. Sebarang pertanyaan, boleh berhubung dengan En. Faris / Pn. Sarah di talian 09-431 6101 / 6898.</w:t>
            </w:r>
          </w:p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0"/>
                <w:szCs w:val="1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ATAU;</w:t>
            </w:r>
          </w:p>
        </w:tc>
      </w:tr>
      <w:tr>
        <w:trPr>
          <w:cantSplit w:val="0"/>
          <w:trHeight w:val="2411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0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hanging="284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Syarikat/Pembekal boleh membuat pembelian naskah dengan membuat pembayaran dan emelkan maklumat berikut ke </w:t>
            </w:r>
            <w:hyperlink r:id="rId7">
              <w:r w:rsidDel="00000000" w:rsidR="00000000" w:rsidRPr="00000000">
                <w:rPr>
                  <w:rFonts w:ascii="Arial" w:cs="Arial" w:eastAsia="Arial" w:hAnsi="Arial"/>
                  <w:b w:val="1"/>
                  <w:i w:val="0"/>
                  <w:smallCaps w:val="0"/>
                  <w:strike w:val="0"/>
                  <w:color w:val="000000"/>
                  <w:sz w:val="18"/>
                  <w:szCs w:val="18"/>
                  <w:u w:val="single"/>
                  <w:shd w:fill="auto" w:val="clear"/>
                  <w:vertAlign w:val="baseline"/>
                  <w:rtl w:val="0"/>
                </w:rPr>
                <w:t xml:space="preserve">procurement@ump.edu.my</w:t>
              </w:r>
            </w:hyperlink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0"/>
                <w:szCs w:val="1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0"/>
              <w:numPr>
                <w:ilvl w:val="1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09" w:right="0" w:hanging="425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Salinan 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Sijil SSM, Lembaga Pembangunan Dan Industri Pembinaan Malaysia (CIDB)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serta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Sijil Taraf Bumiputera dan Borang Lawatan Tapak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;</w:t>
            </w:r>
          </w:p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0"/>
              <w:numPr>
                <w:ilvl w:val="1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31" w:right="0" w:hanging="447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Resit Pembayaran pembayaran secara atas talian ke akaun Bendahari UMP seperti berikut: </w:t>
            </w:r>
          </w:p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09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0"/>
                <w:szCs w:val="1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09" w:right="244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NAMA AKAUN   : BENDAHARI UMP </w:t>
            </w:r>
          </w:p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09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NO. AKAUN       : 556235304242  (MAYBANK)</w:t>
            </w:r>
          </w:p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09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ff0000"/>
                <w:sz w:val="18"/>
                <w:szCs w:val="18"/>
                <w:u w:val="none"/>
                <w:shd w:fill="auto" w:val="clear"/>
                <w:vertAlign w:val="baseline"/>
              </w:rPr>
            </w:pPr>
            <w:bookmarkStart w:colFirst="0" w:colLast="0" w:name="_heading=h.30j0zll" w:id="1"/>
            <w:bookmarkEnd w:id="1"/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RECIPIENT REFERENCE : 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ff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UMPSA/PPH/SH/202</w:t>
            </w: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18"/>
                <w:szCs w:val="18"/>
                <w:rtl w:val="0"/>
              </w:rPr>
              <w:t xml:space="preserve">x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ff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(</w:t>
            </w: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sz w:val="18"/>
                <w:szCs w:val="18"/>
                <w:rtl w:val="0"/>
              </w:rPr>
              <w:t xml:space="preserve">xx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ff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)</w:t>
            </w:r>
          </w:p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09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PAYMENT DETAIL : NAMA SYARIKAT</w:t>
            </w:r>
          </w:p>
          <w:p w:rsidR="00000000" w:rsidDel="00000000" w:rsidP="00000000" w:rsidRDefault="00000000" w:rsidRPr="00000000" w14:paraId="0000004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0"/>
                <w:szCs w:val="1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800" w:right="0" w:hanging="153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singl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     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Dokumen pelawaan sebut harga/tender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ini akan 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di emel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kepada syarikat/pembekal;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9">
            <w:pPr>
              <w:widowControl w:val="0"/>
              <w:ind w:left="284" w:firstLine="0"/>
              <w:jc w:val="both"/>
              <w:rPr>
                <w:rFonts w:ascii="Arial" w:cs="Arial" w:eastAsia="Arial" w:hAnsi="Arial"/>
                <w:sz w:val="10"/>
                <w:szCs w:val="1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92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0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hanging="284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Dokumen sebut harga/tender yang telah disempurnakan hendaklah dimasukkan ke dalam sampul surat berlakri dan ditandakan dengan jelas nombor, tajuk dan tarikh tutup sebut harga/tender tersebut disudut sebelah kiri atas sampul surat berkenaan;</w:t>
            </w:r>
          </w:p>
        </w:tc>
      </w:tr>
      <w:tr>
        <w:trPr>
          <w:cantSplit w:val="0"/>
          <w:trHeight w:val="82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widowControl w:val="0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hanging="284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Penghantaran dokumen sebut harga/tender hendaklah dihantar dan dimasukkan sendiri ke dalam Peti Sebut Harga/Tender di Kaunter Unit Perolehan sebelum atau pada tarikh dan masa yang telah ditetapkan seperti di atas. 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Sebut harga/tender yang lewat dikemukakan tidak akan dipertimbangkan.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9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widowControl w:val="0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0" w:hanging="284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Sila patuhi arahan dan maklumat yang telah dinyatakan di atas bagi memudahkan proses pembelian naskah sebut harga/tender Universiti Malaysia Pahang Al-Sultan Abdullah;</w:t>
            </w:r>
          </w:p>
        </w:tc>
      </w:tr>
      <w:tr>
        <w:trPr>
          <w:cantSplit w:val="0"/>
          <w:trHeight w:val="52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D">
            <w:pPr>
              <w:numPr>
                <w:ilvl w:val="0"/>
                <w:numId w:val="1"/>
              </w:numPr>
              <w:ind w:left="284" w:hanging="284"/>
              <w:jc w:val="both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Pihak Universiti tidak terikat untuk menerima tawaran terendah atau sebarang tawaran.</w:t>
            </w:r>
          </w:p>
        </w:tc>
      </w:tr>
    </w:tbl>
    <w:p w:rsidR="00000000" w:rsidDel="00000000" w:rsidP="00000000" w:rsidRDefault="00000000" w:rsidRPr="00000000" w14:paraId="0000004E">
      <w:pPr>
        <w:rPr>
          <w:rFonts w:ascii="Arial" w:cs="Arial" w:eastAsia="Arial" w:hAnsi="Arial"/>
          <w:sz w:val="8"/>
          <w:szCs w:val="8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20628.0" w:type="dxa"/>
        <w:jc w:val="left"/>
        <w:tblLayout w:type="fixed"/>
        <w:tblLook w:val="0000"/>
      </w:tblPr>
      <w:tblGrid>
        <w:gridCol w:w="10314"/>
        <w:gridCol w:w="10314"/>
        <w:tblGridChange w:id="0">
          <w:tblGrid>
            <w:gridCol w:w="10314"/>
            <w:gridCol w:w="10314"/>
          </w:tblGrid>
        </w:tblGridChange>
      </w:tblGrid>
      <w:tr>
        <w:trPr>
          <w:cantSplit w:val="0"/>
          <w:trHeight w:val="358" w:hRule="atLeast"/>
          <w:tblHeader w:val="0"/>
        </w:trPr>
        <w:tc>
          <w:tcPr/>
          <w:p w:rsidR="00000000" w:rsidDel="00000000" w:rsidP="00000000" w:rsidRDefault="00000000" w:rsidRPr="00000000" w14:paraId="0000004F">
            <w:pPr>
              <w:jc w:val="both"/>
              <w:rPr>
                <w:rFonts w:ascii="Arial" w:cs="Arial" w:eastAsia="Arial" w:hAnsi="Arial"/>
                <w:i w:val="1"/>
                <w:sz w:val="6"/>
                <w:szCs w:val="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0">
            <w:pPr>
              <w:jc w:val="both"/>
              <w:rPr>
                <w:rFonts w:ascii="Arial" w:cs="Arial" w:eastAsia="Arial" w:hAnsi="Arial"/>
                <w:i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(Notis pelawaan ini juga dipaparkan di laman web rasmi UMP. Sila layari </w:t>
            </w:r>
            <w:hyperlink r:id="rId8">
              <w:r w:rsidDel="00000000" w:rsidR="00000000" w:rsidRPr="00000000">
                <w:rPr>
                  <w:rFonts w:ascii="Arial" w:cs="Arial" w:eastAsia="Arial" w:hAnsi="Arial"/>
                  <w:color w:val="0000ff"/>
                  <w:sz w:val="18"/>
                  <w:szCs w:val="18"/>
                  <w:u w:val="single"/>
                  <w:rtl w:val="0"/>
                </w:rPr>
                <w:t xml:space="preserve">www.ump.edu.my</w:t>
              </w:r>
            </w:hyperlink>
            <w:r w:rsidDel="00000000" w:rsidR="00000000" w:rsidRPr="00000000">
              <w:rPr>
                <w:rFonts w:ascii="Arial" w:cs="Arial" w:eastAsia="Arial" w:hAnsi="Arial"/>
                <w:i w:val="1"/>
                <w:color w:val="0000ff"/>
                <w:sz w:val="18"/>
                <w:szCs w:val="18"/>
                <w:u w:val="single"/>
                <w:rtl w:val="0"/>
              </w:rPr>
              <w:t xml:space="preserve">/ms/pembekal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)</w:t>
            </w:r>
          </w:p>
          <w:p w:rsidR="00000000" w:rsidDel="00000000" w:rsidP="00000000" w:rsidRDefault="00000000" w:rsidRPr="00000000" w14:paraId="00000051">
            <w:pPr>
              <w:jc w:val="both"/>
              <w:rPr>
                <w:rFonts w:ascii="Arial" w:cs="Arial" w:eastAsia="Arial" w:hAnsi="Arial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2">
            <w:pPr>
              <w:jc w:val="both"/>
              <w:rPr>
                <w:rFonts w:ascii="Arial" w:cs="Arial" w:eastAsia="Arial" w:hAnsi="Arial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88" w:hRule="atLeast"/>
          <w:tblHeader w:val="0"/>
        </w:trPr>
        <w:tc>
          <w:tcPr/>
          <w:p w:rsidR="00000000" w:rsidDel="00000000" w:rsidP="00000000" w:rsidRDefault="00000000" w:rsidRPr="00000000" w14:paraId="00000053">
            <w:pPr>
              <w:jc w:val="both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BENDAHARI/KETUA PEGAWAI KEWANGAN</w:t>
            </w:r>
          </w:p>
        </w:tc>
        <w:tc>
          <w:tcPr/>
          <w:p w:rsidR="00000000" w:rsidDel="00000000" w:rsidP="00000000" w:rsidRDefault="00000000" w:rsidRPr="00000000" w14:paraId="00000054">
            <w:pPr>
              <w:jc w:val="both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88" w:hRule="atLeast"/>
          <w:tblHeader w:val="0"/>
        </w:trPr>
        <w:tc>
          <w:tcPr/>
          <w:p w:rsidR="00000000" w:rsidDel="00000000" w:rsidP="00000000" w:rsidRDefault="00000000" w:rsidRPr="00000000" w14:paraId="00000055">
            <w:pPr>
              <w:jc w:val="both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UNIVERSITI MALAYSIA PAHANG AL-SULTAN ABDULLAH </w:t>
            </w:r>
          </w:p>
        </w:tc>
        <w:tc>
          <w:tcPr/>
          <w:p w:rsidR="00000000" w:rsidDel="00000000" w:rsidP="00000000" w:rsidRDefault="00000000" w:rsidRPr="00000000" w14:paraId="00000056">
            <w:pPr>
              <w:jc w:val="both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7">
      <w:pPr>
        <w:rPr/>
      </w:pPr>
      <w:r w:rsidDel="00000000" w:rsidR="00000000" w:rsidRPr="00000000">
        <w:rPr>
          <w:rtl w:val="0"/>
        </w:rPr>
      </w:r>
    </w:p>
    <w:sectPr>
      <w:headerReference r:id="rId9" w:type="default"/>
      <w:pgSz w:h="16838" w:w="11906" w:orient="portrait"/>
      <w:pgMar w:bottom="0" w:top="426" w:left="851" w:right="1440" w:header="705.6" w:footer="705.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Century Gothic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8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2828925</wp:posOffset>
          </wp:positionH>
          <wp:positionV relativeFrom="paragraph">
            <wp:posOffset>-448055</wp:posOffset>
          </wp:positionV>
          <wp:extent cx="905510" cy="826135"/>
          <wp:effectExtent b="0" l="0" r="0" t="0"/>
          <wp:wrapSquare wrapText="bothSides" distB="0" distT="0" distL="114300" distR="11430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905510" cy="826135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)"/>
      <w:lvlJc w:val="left"/>
      <w:pPr>
        <w:ind w:left="1211" w:hanging="360"/>
      </w:pPr>
      <w:rPr>
        <w:b w:val="0"/>
        <w:color w:val="000000"/>
      </w:rPr>
    </w:lvl>
    <w:lvl w:ilvl="1">
      <w:start w:val="1"/>
      <w:numFmt w:val="lowerLetter"/>
      <w:lvlText w:val="%2."/>
      <w:lvlJc w:val="left"/>
      <w:pPr>
        <w:ind w:left="1800" w:hanging="360"/>
      </w:pPr>
      <w:rPr/>
    </w:lvl>
    <w:lvl w:ilvl="2">
      <w:start w:val="1"/>
      <w:numFmt w:val="lowerRoman"/>
      <w:lvlText w:val="%3."/>
      <w:lvlJc w:val="right"/>
      <w:pPr>
        <w:ind w:left="2520" w:hanging="180"/>
      </w:pPr>
      <w:rPr/>
    </w:lvl>
    <w:lvl w:ilvl="3">
      <w:start w:val="1"/>
      <w:numFmt w:val="decimal"/>
      <w:lvlText w:val="%4."/>
      <w:lvlJc w:val="left"/>
      <w:pPr>
        <w:ind w:left="3240" w:hanging="360"/>
      </w:pPr>
      <w:rPr/>
    </w:lvl>
    <w:lvl w:ilvl="4">
      <w:start w:val="1"/>
      <w:numFmt w:val="lowerLetter"/>
      <w:lvlText w:val="%5."/>
      <w:lvlJc w:val="left"/>
      <w:pPr>
        <w:ind w:left="3960" w:hanging="360"/>
      </w:pPr>
      <w:rPr/>
    </w:lvl>
    <w:lvl w:ilvl="5">
      <w:start w:val="1"/>
      <w:numFmt w:val="lowerRoman"/>
      <w:lvlText w:val="%6."/>
      <w:lvlJc w:val="right"/>
      <w:pPr>
        <w:ind w:left="4680" w:hanging="180"/>
      </w:pPr>
      <w:rPr/>
    </w:lvl>
    <w:lvl w:ilvl="6">
      <w:start w:val="1"/>
      <w:numFmt w:val="decimal"/>
      <w:lvlText w:val="%7."/>
      <w:lvlJc w:val="left"/>
      <w:pPr>
        <w:ind w:left="5400" w:hanging="360"/>
      </w:pPr>
      <w:rPr/>
    </w:lvl>
    <w:lvl w:ilvl="7">
      <w:start w:val="1"/>
      <w:numFmt w:val="lowerLetter"/>
      <w:lvlText w:val="%8."/>
      <w:lvlJc w:val="left"/>
      <w:pPr>
        <w:ind w:left="6120" w:hanging="360"/>
      </w:pPr>
      <w:rPr/>
    </w:lvl>
    <w:lvl w:ilvl="8">
      <w:start w:val="1"/>
      <w:numFmt w:val="lowerRoman"/>
      <w:lvlText w:val="%9."/>
      <w:lvlJc w:val="right"/>
      <w:pPr>
        <w:ind w:left="684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mailto:procurement@ump.edu.my" TargetMode="External"/><Relationship Id="rId8" Type="http://schemas.openxmlformats.org/officeDocument/2006/relationships/hyperlink" Target="http://www.ump.edu.my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enturyGothic-regular.ttf"/><Relationship Id="rId2" Type="http://schemas.openxmlformats.org/officeDocument/2006/relationships/font" Target="fonts/CenturyGothic-bold.ttf"/><Relationship Id="rId3" Type="http://schemas.openxmlformats.org/officeDocument/2006/relationships/font" Target="fonts/CenturyGothic-italic.ttf"/><Relationship Id="rId4" Type="http://schemas.openxmlformats.org/officeDocument/2006/relationships/font" Target="fonts/CenturyGothic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cteNz+DvokZEhO8xDnqMBx5A2dg==">CgMxLjAyCGguZ2pkZ3hzMgloLjMwajB6bGw4AHIhMV9NS1VFYk9DUWZWa045eWZuRExMUFo1U2VMZUVLQS12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